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565B" w14:textId="6792D779" w:rsidR="00ED1B37" w:rsidRDefault="00644711">
      <w:pPr>
        <w:pStyle w:val="Heading1"/>
        <w:spacing w:line="22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6D566F" wp14:editId="2520BDAD">
            <wp:simplePos x="0" y="0"/>
            <wp:positionH relativeFrom="page">
              <wp:posOffset>457200</wp:posOffset>
            </wp:positionH>
            <wp:positionV relativeFrom="paragraph">
              <wp:posOffset>-120015</wp:posOffset>
            </wp:positionV>
            <wp:extent cx="1303831" cy="17386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831" cy="173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74B5"/>
        </w:rPr>
        <w:t>USE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OF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RECOMBINANT</w:t>
      </w:r>
      <w:r>
        <w:rPr>
          <w:color w:val="2D74B5"/>
          <w:spacing w:val="-7"/>
        </w:rPr>
        <w:t xml:space="preserve"> </w:t>
      </w:r>
      <w:r w:rsidR="007B1C9A">
        <w:rPr>
          <w:color w:val="2D74B5"/>
        </w:rPr>
        <w:t>REAGENT</w:t>
      </w:r>
      <w:r w:rsidR="006808D8">
        <w:rPr>
          <w:color w:val="2D74B5"/>
        </w:rPr>
        <w:t>S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IN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BACTERIAL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 xml:space="preserve">ENDOTOXINS TESTING: TRANSITION FROM </w:t>
      </w:r>
      <w:r>
        <w:rPr>
          <w:i/>
          <w:color w:val="2D74B5"/>
        </w:rPr>
        <w:t xml:space="preserve">LIMULUS </w:t>
      </w:r>
      <w:r>
        <w:rPr>
          <w:color w:val="2D74B5"/>
        </w:rPr>
        <w:t>AMEBOCYTE LYSATE (LAL)</w:t>
      </w:r>
    </w:p>
    <w:p w14:paraId="1A6D565C" w14:textId="78221B14" w:rsidR="00ED1B37" w:rsidRDefault="006F38D2">
      <w:pPr>
        <w:pStyle w:val="BodyText"/>
        <w:spacing w:before="261" w:line="228" w:lineRule="auto"/>
        <w:ind w:left="2412" w:firstLine="0"/>
      </w:pPr>
      <w:r w:rsidRPr="006F38D2">
        <w:t>Recombinant endotoxin test reagents such as recombinant Factor C (rFC) and recombinant Cascade Reagent (rCR) are widely available, reliable, and sustainable alternatives to horseshoe crab blood-derived Limulus Amebocyte Lysate (LAL). Manufactured using the same biotechnology processes as modern medicines, these reagents offer a clear path to transition away from animal-based testing amidst a 30-year decline in horseshoe crab populations.</w:t>
      </w:r>
    </w:p>
    <w:p w14:paraId="1A6D5662" w14:textId="77777777" w:rsidR="00ED1B37" w:rsidRDefault="00644711" w:rsidP="00624615">
      <w:pPr>
        <w:pStyle w:val="Heading2"/>
        <w:spacing w:before="1" w:line="336" w:lineRule="exact"/>
        <w:ind w:left="90"/>
      </w:pPr>
      <w:r>
        <w:rPr>
          <w:color w:val="2D74B5"/>
        </w:rPr>
        <w:t>SUPPLY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4"/>
        </w:rPr>
        <w:t>CHAIN</w:t>
      </w:r>
    </w:p>
    <w:p w14:paraId="75D1E76F" w14:textId="77777777" w:rsidR="00F203E2" w:rsidRPr="00F203E2" w:rsidRDefault="00F203E2" w:rsidP="00624615">
      <w:pPr>
        <w:pStyle w:val="BodyText"/>
        <w:numPr>
          <w:ilvl w:val="0"/>
          <w:numId w:val="3"/>
        </w:numPr>
        <w:spacing w:before="32"/>
        <w:ind w:left="450"/>
        <w:rPr>
          <w:szCs w:val="22"/>
        </w:rPr>
      </w:pPr>
      <w:r w:rsidRPr="00447ACF">
        <w:rPr>
          <w:b/>
          <w:bCs/>
          <w:szCs w:val="22"/>
        </w:rPr>
        <w:t>Business Continuity</w:t>
      </w:r>
      <w:r w:rsidRPr="00F203E2">
        <w:rPr>
          <w:szCs w:val="22"/>
        </w:rPr>
        <w:t>: Safeguards the medicine supply chain by eliminating dependence on an unpredictable, wild-harvested natural resource.</w:t>
      </w:r>
    </w:p>
    <w:p w14:paraId="10A88763" w14:textId="090A06FF" w:rsidR="00F203E2" w:rsidRPr="00F203E2" w:rsidRDefault="00F203E2" w:rsidP="00624615">
      <w:pPr>
        <w:pStyle w:val="BodyText"/>
        <w:numPr>
          <w:ilvl w:val="0"/>
          <w:numId w:val="3"/>
        </w:numPr>
        <w:spacing w:before="32"/>
        <w:ind w:left="450"/>
        <w:rPr>
          <w:szCs w:val="22"/>
        </w:rPr>
      </w:pPr>
      <w:r w:rsidRPr="00447ACF">
        <w:rPr>
          <w:b/>
          <w:bCs/>
          <w:szCs w:val="22"/>
        </w:rPr>
        <w:t>Enhanced Certainty</w:t>
      </w:r>
      <w:r w:rsidRPr="00F203E2">
        <w:rPr>
          <w:szCs w:val="22"/>
        </w:rPr>
        <w:t>: Mitigates supply chain vulnerabilities driven by external pressures, such as ESA and CITES petitions, federal and state lawsuits and harvesting moratoriums in New York and Connecticut.</w:t>
      </w:r>
    </w:p>
    <w:p w14:paraId="1A6D5665" w14:textId="77777777" w:rsidR="00ED1B37" w:rsidRDefault="00ED1B37" w:rsidP="00624615">
      <w:pPr>
        <w:pStyle w:val="BodyText"/>
        <w:spacing w:before="32"/>
        <w:ind w:left="90" w:firstLine="0"/>
      </w:pPr>
    </w:p>
    <w:p w14:paraId="1A6D5666" w14:textId="77777777" w:rsidR="00ED1B37" w:rsidRDefault="00644711" w:rsidP="00624615">
      <w:pPr>
        <w:pStyle w:val="Heading2"/>
        <w:ind w:left="90"/>
      </w:pPr>
      <w:r>
        <w:rPr>
          <w:color w:val="2D74B5"/>
          <w:spacing w:val="-2"/>
        </w:rPr>
        <w:t>QUALITY</w:t>
      </w:r>
    </w:p>
    <w:p w14:paraId="1B06DB86" w14:textId="77777777" w:rsidR="00B14938" w:rsidRPr="00C12449" w:rsidRDefault="00B14938" w:rsidP="00B14938">
      <w:pPr>
        <w:pStyle w:val="BodyText"/>
        <w:numPr>
          <w:ilvl w:val="0"/>
          <w:numId w:val="4"/>
        </w:numPr>
        <w:spacing w:before="33"/>
        <w:ind w:left="450"/>
        <w:rPr>
          <w:szCs w:val="22"/>
        </w:rPr>
      </w:pPr>
      <w:r w:rsidRPr="00447ACF">
        <w:rPr>
          <w:b/>
          <w:bCs/>
          <w:szCs w:val="22"/>
        </w:rPr>
        <w:t>Clear Pathway via USP &lt;86&gt;</w:t>
      </w:r>
      <w:r w:rsidRPr="00C12449">
        <w:rPr>
          <w:szCs w:val="22"/>
        </w:rPr>
        <w:t xml:space="preserve">: The official implementation of USP Chapter &lt;86&gt; establishes a clear, non-animal-derived framework for recombinant testing. For new </w:t>
      </w:r>
      <w:r>
        <w:rPr>
          <w:szCs w:val="22"/>
        </w:rPr>
        <w:t>products</w:t>
      </w:r>
      <w:r w:rsidRPr="00C12449">
        <w:rPr>
          <w:szCs w:val="22"/>
        </w:rPr>
        <w:t xml:space="preserve">, manufacturers can now adopt rFC or </w:t>
      </w:r>
      <w:proofErr w:type="spellStart"/>
      <w:r w:rsidRPr="00C12449">
        <w:rPr>
          <w:szCs w:val="22"/>
        </w:rPr>
        <w:t>rCR</w:t>
      </w:r>
      <w:proofErr w:type="spellEnd"/>
      <w:r w:rsidRPr="00C12449">
        <w:rPr>
          <w:szCs w:val="22"/>
        </w:rPr>
        <w:t xml:space="preserve"> directly without needing to demonstrate comparability to traditional LAL methods.</w:t>
      </w:r>
    </w:p>
    <w:p w14:paraId="04C73CA6" w14:textId="77777777" w:rsidR="00B14938" w:rsidRPr="00C12449" w:rsidRDefault="00B14938" w:rsidP="00B14938">
      <w:pPr>
        <w:pStyle w:val="BodyText"/>
        <w:numPr>
          <w:ilvl w:val="0"/>
          <w:numId w:val="4"/>
        </w:numPr>
        <w:spacing w:before="33"/>
        <w:ind w:left="450"/>
        <w:rPr>
          <w:szCs w:val="22"/>
        </w:rPr>
      </w:pPr>
      <w:r w:rsidRPr="00447ACF">
        <w:rPr>
          <w:b/>
          <w:bCs/>
          <w:szCs w:val="22"/>
        </w:rPr>
        <w:t>Global Acceptance</w:t>
      </w:r>
      <w:r w:rsidRPr="00C12449">
        <w:rPr>
          <w:szCs w:val="22"/>
        </w:rPr>
        <w:t>: The FDA and global health authorities have approved at least 13 products using rBET across 106 countries, with explicit support or preference voiced by the WHO and global pharmacopeias.</w:t>
      </w:r>
    </w:p>
    <w:p w14:paraId="70E98E31" w14:textId="4CEB4F62" w:rsidR="00C12449" w:rsidRPr="00C12449" w:rsidRDefault="00C12449" w:rsidP="00624615">
      <w:pPr>
        <w:pStyle w:val="BodyText"/>
        <w:numPr>
          <w:ilvl w:val="0"/>
          <w:numId w:val="4"/>
        </w:numPr>
        <w:spacing w:before="33"/>
        <w:ind w:left="450"/>
        <w:rPr>
          <w:szCs w:val="22"/>
        </w:rPr>
      </w:pPr>
      <w:r w:rsidRPr="00447ACF">
        <w:rPr>
          <w:b/>
          <w:bCs/>
          <w:szCs w:val="22"/>
        </w:rPr>
        <w:t>Proven Performance</w:t>
      </w:r>
      <w:r w:rsidRPr="00C12449">
        <w:rPr>
          <w:szCs w:val="22"/>
        </w:rPr>
        <w:t>: Over 15 peer-reviewed studies across nearly 200 real-world pharmaceutical products demonstrate rBET’s equivalence or superiority to LAL, particularly in its high specificity for bacterial endotoxins.</w:t>
      </w:r>
    </w:p>
    <w:p w14:paraId="4B00E3F6" w14:textId="77777777" w:rsidR="00C12449" w:rsidRPr="00C12449" w:rsidRDefault="00C12449" w:rsidP="00624615">
      <w:pPr>
        <w:pStyle w:val="BodyText"/>
        <w:numPr>
          <w:ilvl w:val="0"/>
          <w:numId w:val="4"/>
        </w:numPr>
        <w:spacing w:before="33"/>
        <w:ind w:left="450"/>
        <w:rPr>
          <w:szCs w:val="22"/>
        </w:rPr>
      </w:pPr>
      <w:r w:rsidRPr="00447ACF">
        <w:rPr>
          <w:b/>
          <w:bCs/>
          <w:szCs w:val="22"/>
        </w:rPr>
        <w:t>Consistency</w:t>
      </w:r>
      <w:r w:rsidRPr="00C12449">
        <w:rPr>
          <w:szCs w:val="22"/>
        </w:rPr>
        <w:t>: Eliminates the lot-to-lot environmental variability inherent to wild-sourced animal blood by using controlled, validated biotech manufacturing.</w:t>
      </w:r>
    </w:p>
    <w:p w14:paraId="1A6D566B" w14:textId="77777777" w:rsidR="00ED1B37" w:rsidRDefault="00ED1B37" w:rsidP="00624615">
      <w:pPr>
        <w:pStyle w:val="BodyText"/>
        <w:spacing w:before="33"/>
        <w:ind w:left="90" w:firstLine="0"/>
      </w:pPr>
    </w:p>
    <w:p w14:paraId="1088B63B" w14:textId="4057D851" w:rsidR="00624615" w:rsidRPr="00624615" w:rsidRDefault="00624615" w:rsidP="00624615">
      <w:pPr>
        <w:pStyle w:val="Heading2"/>
        <w:ind w:left="90"/>
        <w:rPr>
          <w:color w:val="2D74B5"/>
          <w:spacing w:val="-2"/>
        </w:rPr>
      </w:pPr>
      <w:r w:rsidRPr="00624615">
        <w:rPr>
          <w:color w:val="2D74B5"/>
          <w:spacing w:val="-2"/>
        </w:rPr>
        <w:t>C</w:t>
      </w:r>
      <w:r w:rsidR="00AE6977">
        <w:rPr>
          <w:color w:val="2D74B5"/>
          <w:spacing w:val="-2"/>
        </w:rPr>
        <w:t>OST</w:t>
      </w:r>
    </w:p>
    <w:p w14:paraId="5B6F9F12" w14:textId="77777777" w:rsidR="00624615" w:rsidRPr="00624615" w:rsidRDefault="00624615" w:rsidP="00624615">
      <w:pPr>
        <w:pStyle w:val="BodyText"/>
        <w:numPr>
          <w:ilvl w:val="0"/>
          <w:numId w:val="4"/>
        </w:numPr>
        <w:spacing w:before="33"/>
        <w:ind w:left="450"/>
        <w:rPr>
          <w:szCs w:val="22"/>
        </w:rPr>
      </w:pPr>
      <w:r w:rsidRPr="00447ACF">
        <w:rPr>
          <w:b/>
          <w:bCs/>
          <w:szCs w:val="22"/>
        </w:rPr>
        <w:t>Equipment Compatibility</w:t>
      </w:r>
      <w:r w:rsidRPr="00624615">
        <w:rPr>
          <w:szCs w:val="22"/>
        </w:rPr>
        <w:t>: Transitioning to rCR requires no new capital investment because it is fully compatible with standard plate readers already used for LAL, while choosing rFC may require a modest upfront investment in fluorescence-based readers.</w:t>
      </w:r>
    </w:p>
    <w:p w14:paraId="64365153" w14:textId="77777777" w:rsidR="00624615" w:rsidRPr="00624615" w:rsidRDefault="00624615" w:rsidP="00624615">
      <w:pPr>
        <w:pStyle w:val="BodyText"/>
        <w:numPr>
          <w:ilvl w:val="0"/>
          <w:numId w:val="4"/>
        </w:numPr>
        <w:spacing w:before="33"/>
        <w:ind w:left="450"/>
        <w:rPr>
          <w:szCs w:val="22"/>
        </w:rPr>
      </w:pPr>
      <w:r w:rsidRPr="00447ACF">
        <w:rPr>
          <w:b/>
          <w:bCs/>
          <w:szCs w:val="22"/>
        </w:rPr>
        <w:t>Rapid ROI</w:t>
      </w:r>
      <w:r w:rsidRPr="00624615">
        <w:rPr>
          <w:szCs w:val="22"/>
        </w:rPr>
        <w:t>: Despite potential initial hardware upgrades for rFC, the long-term operational costs are significantly lower due to reduced reagent expenses and fewer false positives, leading to rapid cost-parity and positive return on investment.</w:t>
      </w:r>
    </w:p>
    <w:p w14:paraId="32EADF6B" w14:textId="77777777" w:rsidR="00B14938" w:rsidRDefault="00B14938" w:rsidP="00B14938">
      <w:pPr>
        <w:pStyle w:val="Heading2"/>
        <w:spacing w:before="247" w:line="336" w:lineRule="exact"/>
        <w:ind w:left="90"/>
      </w:pPr>
      <w:r>
        <w:rPr>
          <w:color w:val="2D74B5"/>
          <w:spacing w:val="-2"/>
        </w:rPr>
        <w:t>SUSTAINABILITY</w:t>
      </w:r>
    </w:p>
    <w:p w14:paraId="48CC8FEC" w14:textId="77777777" w:rsidR="00B14938" w:rsidRPr="00AE6DC5" w:rsidRDefault="00B14938" w:rsidP="00B14938">
      <w:pPr>
        <w:pStyle w:val="BodyText"/>
        <w:numPr>
          <w:ilvl w:val="0"/>
          <w:numId w:val="2"/>
        </w:numPr>
        <w:spacing w:before="31"/>
        <w:ind w:left="450"/>
        <w:rPr>
          <w:szCs w:val="22"/>
        </w:rPr>
      </w:pPr>
      <w:r w:rsidRPr="00447ACF">
        <w:rPr>
          <w:b/>
          <w:bCs/>
          <w:szCs w:val="22"/>
        </w:rPr>
        <w:t>Corporate Alignment</w:t>
      </w:r>
      <w:r w:rsidRPr="00AE6DC5">
        <w:rPr>
          <w:szCs w:val="22"/>
        </w:rPr>
        <w:t>: Transitioning to rBET satisfies corporate sustainability goals</w:t>
      </w:r>
      <w:proofErr w:type="gramStart"/>
      <w:r>
        <w:rPr>
          <w:szCs w:val="22"/>
        </w:rPr>
        <w:t xml:space="preserve">:  </w:t>
      </w:r>
      <w:r w:rsidRPr="00AE6DC5">
        <w:rPr>
          <w:szCs w:val="22"/>
        </w:rPr>
        <w:t>the</w:t>
      </w:r>
      <w:proofErr w:type="gramEnd"/>
      <w:r w:rsidRPr="00AE6DC5">
        <w:rPr>
          <w:szCs w:val="22"/>
        </w:rPr>
        <w:t xml:space="preserve"> U</w:t>
      </w:r>
      <w:r>
        <w:rPr>
          <w:szCs w:val="22"/>
        </w:rPr>
        <w:t>.</w:t>
      </w:r>
      <w:r w:rsidRPr="00AE6DC5">
        <w:rPr>
          <w:szCs w:val="22"/>
        </w:rPr>
        <w:t>N</w:t>
      </w:r>
      <w:r>
        <w:rPr>
          <w:szCs w:val="22"/>
        </w:rPr>
        <w:t>.</w:t>
      </w:r>
      <w:r w:rsidRPr="00AE6DC5">
        <w:rPr>
          <w:szCs w:val="22"/>
        </w:rPr>
        <w:t xml:space="preserve"> Sustainable Development Goals, the 3Rs framework (Reduce-Refine-Replace), and investor-driven metrics.</w:t>
      </w:r>
    </w:p>
    <w:p w14:paraId="0444EC77" w14:textId="77777777" w:rsidR="00B14938" w:rsidRPr="00AE6DC5" w:rsidRDefault="00B14938" w:rsidP="00B14938">
      <w:pPr>
        <w:pStyle w:val="BodyText"/>
        <w:numPr>
          <w:ilvl w:val="0"/>
          <w:numId w:val="2"/>
        </w:numPr>
        <w:spacing w:before="31"/>
        <w:ind w:left="450"/>
        <w:rPr>
          <w:szCs w:val="22"/>
        </w:rPr>
      </w:pPr>
      <w:r w:rsidRPr="00447ACF">
        <w:rPr>
          <w:b/>
          <w:bCs/>
          <w:szCs w:val="22"/>
        </w:rPr>
        <w:t>Biodiversity Impact</w:t>
      </w:r>
      <w:r w:rsidRPr="00AE6DC5">
        <w:rPr>
          <w:szCs w:val="22"/>
        </w:rPr>
        <w:t>: Recombinant testing (rBET) provides a synthetic biotechnology solution that protects wild populations and enhances global biodiversity outcomes.</w:t>
      </w:r>
    </w:p>
    <w:p w14:paraId="7789D9CB" w14:textId="25789874" w:rsidR="00B14938" w:rsidRPr="00AE6DC5" w:rsidRDefault="00B14938" w:rsidP="00B14938">
      <w:pPr>
        <w:pStyle w:val="BodyText"/>
        <w:numPr>
          <w:ilvl w:val="0"/>
          <w:numId w:val="2"/>
        </w:numPr>
        <w:spacing w:before="31"/>
        <w:ind w:left="450"/>
        <w:rPr>
          <w:szCs w:val="22"/>
        </w:rPr>
      </w:pPr>
      <w:r w:rsidRPr="00447ACF">
        <w:rPr>
          <w:b/>
          <w:bCs/>
          <w:szCs w:val="22"/>
        </w:rPr>
        <w:t>Species at Risk</w:t>
      </w:r>
      <w:r w:rsidRPr="00AE6DC5">
        <w:rPr>
          <w:szCs w:val="22"/>
        </w:rPr>
        <w:t>: The IUCN classifies the American horseshoe crab as "Vulnerable" and the Asian tri-spine as "Endangered". The other two Asian species are likely to be declared endangered in 2026.</w:t>
      </w:r>
    </w:p>
    <w:p w14:paraId="072F0BF8" w14:textId="77777777" w:rsidR="00B14938" w:rsidRDefault="00B14938" w:rsidP="00624615">
      <w:pPr>
        <w:tabs>
          <w:tab w:val="left" w:pos="1872"/>
        </w:tabs>
        <w:spacing w:before="1" w:line="228" w:lineRule="auto"/>
        <w:ind w:left="90" w:right="89"/>
        <w:rPr>
          <w:sz w:val="24"/>
        </w:rPr>
      </w:pPr>
    </w:p>
    <w:p w14:paraId="1A6D566E" w14:textId="7E0B00EA" w:rsidR="00ED1B37" w:rsidRPr="00FB198E" w:rsidRDefault="00644711" w:rsidP="00624615">
      <w:pPr>
        <w:tabs>
          <w:tab w:val="left" w:pos="1872"/>
        </w:tabs>
        <w:spacing w:before="1" w:line="228" w:lineRule="auto"/>
        <w:ind w:left="90" w:right="89"/>
        <w:rPr>
          <w:sz w:val="24"/>
        </w:rPr>
      </w:pPr>
      <w:r w:rsidRPr="00FB198E">
        <w:rPr>
          <w:sz w:val="24"/>
        </w:rPr>
        <w:t xml:space="preserve">A transition to </w:t>
      </w:r>
      <w:r w:rsidR="00FB198E">
        <w:rPr>
          <w:sz w:val="24"/>
        </w:rPr>
        <w:t>the rBET</w:t>
      </w:r>
      <w:r w:rsidRPr="00FB198E">
        <w:rPr>
          <w:sz w:val="24"/>
        </w:rPr>
        <w:t xml:space="preserve"> will help restore horseshoe crabs to ecological carrying capacity and the recovery</w:t>
      </w:r>
      <w:r w:rsidRPr="00FB198E">
        <w:rPr>
          <w:spacing w:val="-3"/>
          <w:sz w:val="24"/>
        </w:rPr>
        <w:t xml:space="preserve"> </w:t>
      </w:r>
      <w:r w:rsidRPr="00FB198E">
        <w:rPr>
          <w:sz w:val="24"/>
        </w:rPr>
        <w:t>of</w:t>
      </w:r>
      <w:r w:rsidRPr="00FB198E">
        <w:rPr>
          <w:spacing w:val="-5"/>
          <w:sz w:val="24"/>
        </w:rPr>
        <w:t xml:space="preserve"> </w:t>
      </w:r>
      <w:r w:rsidRPr="00FB198E">
        <w:rPr>
          <w:sz w:val="24"/>
        </w:rPr>
        <w:t>threatened</w:t>
      </w:r>
      <w:r w:rsidRPr="00FB198E">
        <w:rPr>
          <w:spacing w:val="-2"/>
          <w:sz w:val="24"/>
        </w:rPr>
        <w:t xml:space="preserve"> </w:t>
      </w:r>
      <w:r w:rsidRPr="00FB198E">
        <w:rPr>
          <w:sz w:val="24"/>
        </w:rPr>
        <w:t>shorebird</w:t>
      </w:r>
      <w:r w:rsidRPr="00FB198E">
        <w:rPr>
          <w:spacing w:val="-4"/>
          <w:sz w:val="24"/>
        </w:rPr>
        <w:t xml:space="preserve"> </w:t>
      </w:r>
      <w:r w:rsidRPr="00FB198E">
        <w:rPr>
          <w:sz w:val="24"/>
        </w:rPr>
        <w:t>populations</w:t>
      </w:r>
      <w:r w:rsidRPr="00FB198E">
        <w:rPr>
          <w:spacing w:val="-3"/>
          <w:sz w:val="24"/>
        </w:rPr>
        <w:t xml:space="preserve"> </w:t>
      </w:r>
      <w:r w:rsidRPr="00FB198E">
        <w:rPr>
          <w:sz w:val="24"/>
        </w:rPr>
        <w:t>and</w:t>
      </w:r>
      <w:r w:rsidRPr="00FB198E">
        <w:rPr>
          <w:spacing w:val="-3"/>
          <w:sz w:val="24"/>
        </w:rPr>
        <w:t xml:space="preserve"> </w:t>
      </w:r>
      <w:r w:rsidRPr="00FB198E">
        <w:rPr>
          <w:sz w:val="24"/>
        </w:rPr>
        <w:t>sport</w:t>
      </w:r>
      <w:r w:rsidRPr="00FB198E">
        <w:rPr>
          <w:spacing w:val="-3"/>
          <w:sz w:val="24"/>
        </w:rPr>
        <w:t xml:space="preserve"> </w:t>
      </w:r>
      <w:r w:rsidRPr="00FB198E">
        <w:rPr>
          <w:sz w:val="24"/>
        </w:rPr>
        <w:t>fish</w:t>
      </w:r>
      <w:r w:rsidRPr="00FB198E">
        <w:rPr>
          <w:spacing w:val="-2"/>
          <w:sz w:val="24"/>
        </w:rPr>
        <w:t xml:space="preserve"> </w:t>
      </w:r>
      <w:r w:rsidRPr="00FB198E">
        <w:rPr>
          <w:sz w:val="24"/>
        </w:rPr>
        <w:t>that</w:t>
      </w:r>
      <w:r w:rsidRPr="00FB198E">
        <w:rPr>
          <w:spacing w:val="-3"/>
          <w:sz w:val="24"/>
        </w:rPr>
        <w:t xml:space="preserve"> </w:t>
      </w:r>
      <w:r w:rsidRPr="00FB198E">
        <w:rPr>
          <w:sz w:val="24"/>
        </w:rPr>
        <w:t>depend</w:t>
      </w:r>
      <w:r w:rsidRPr="00FB198E">
        <w:rPr>
          <w:spacing w:val="-3"/>
          <w:sz w:val="24"/>
        </w:rPr>
        <w:t xml:space="preserve"> </w:t>
      </w:r>
      <w:r w:rsidRPr="00FB198E">
        <w:rPr>
          <w:sz w:val="24"/>
        </w:rPr>
        <w:t>on</w:t>
      </w:r>
      <w:r w:rsidRPr="00FB198E">
        <w:rPr>
          <w:spacing w:val="-2"/>
          <w:sz w:val="24"/>
        </w:rPr>
        <w:t xml:space="preserve"> </w:t>
      </w:r>
      <w:r w:rsidRPr="00FB198E">
        <w:rPr>
          <w:sz w:val="24"/>
        </w:rPr>
        <w:t>horseshoe</w:t>
      </w:r>
      <w:r w:rsidRPr="00FB198E">
        <w:rPr>
          <w:spacing w:val="-4"/>
          <w:sz w:val="24"/>
        </w:rPr>
        <w:t xml:space="preserve"> </w:t>
      </w:r>
      <w:r w:rsidRPr="00FB198E">
        <w:rPr>
          <w:sz w:val="24"/>
        </w:rPr>
        <w:t>crab</w:t>
      </w:r>
      <w:r w:rsidRPr="00FB198E">
        <w:rPr>
          <w:spacing w:val="-3"/>
          <w:sz w:val="24"/>
        </w:rPr>
        <w:t xml:space="preserve"> </w:t>
      </w:r>
      <w:r w:rsidRPr="00FB198E">
        <w:rPr>
          <w:sz w:val="24"/>
        </w:rPr>
        <w:t>eggs, while maintaining patient safety and the safe supply of medicine.</w:t>
      </w:r>
      <w:r w:rsidRPr="00FB198E">
        <w:rPr>
          <w:spacing w:val="40"/>
          <w:sz w:val="24"/>
        </w:rPr>
        <w:t xml:space="preserve"> </w:t>
      </w:r>
      <w:r w:rsidRPr="00FB198E">
        <w:rPr>
          <w:sz w:val="24"/>
        </w:rPr>
        <w:t xml:space="preserve">Please take an active role in your organization to facilitate the implementation of </w:t>
      </w:r>
      <w:r w:rsidR="00DB41FF">
        <w:rPr>
          <w:sz w:val="24"/>
        </w:rPr>
        <w:t>rBET</w:t>
      </w:r>
      <w:r w:rsidRPr="00FB198E">
        <w:rPr>
          <w:sz w:val="24"/>
        </w:rPr>
        <w:t xml:space="preserve"> as a sustainable alternative to LAL.</w:t>
      </w:r>
    </w:p>
    <w:sectPr w:rsidR="00ED1B37" w:rsidRPr="00FB198E" w:rsidSect="00624615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1FAC"/>
    <w:multiLevelType w:val="hybridMultilevel"/>
    <w:tmpl w:val="333CE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703107"/>
    <w:multiLevelType w:val="hybridMultilevel"/>
    <w:tmpl w:val="45F09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81671C6"/>
    <w:multiLevelType w:val="hybridMultilevel"/>
    <w:tmpl w:val="28EC72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EAD7B97"/>
    <w:multiLevelType w:val="hybridMultilevel"/>
    <w:tmpl w:val="557028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F95010C"/>
    <w:multiLevelType w:val="hybridMultilevel"/>
    <w:tmpl w:val="BDE0B88E"/>
    <w:lvl w:ilvl="0" w:tplc="B11E76DA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F4E4D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2" w:tplc="D1FEB5B8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3" w:tplc="E7F4FDDA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4" w:tplc="46E2C854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B4EC61E0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4C34C852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7" w:tplc="934C534E">
      <w:numFmt w:val="bullet"/>
      <w:lvlText w:val="•"/>
      <w:lvlJc w:val="left"/>
      <w:pPr>
        <w:ind w:left="8376" w:hanging="360"/>
      </w:pPr>
      <w:rPr>
        <w:rFonts w:hint="default"/>
        <w:lang w:val="en-US" w:eastAsia="en-US" w:bidi="ar-SA"/>
      </w:rPr>
    </w:lvl>
    <w:lvl w:ilvl="8" w:tplc="3F04C7A6"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</w:abstractNum>
  <w:num w:numId="1" w16cid:durableId="455636814">
    <w:abstractNumId w:val="4"/>
  </w:num>
  <w:num w:numId="2" w16cid:durableId="1697972495">
    <w:abstractNumId w:val="2"/>
  </w:num>
  <w:num w:numId="3" w16cid:durableId="699550069">
    <w:abstractNumId w:val="3"/>
  </w:num>
  <w:num w:numId="4" w16cid:durableId="1322346469">
    <w:abstractNumId w:val="1"/>
  </w:num>
  <w:num w:numId="5" w16cid:durableId="91070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37"/>
    <w:rsid w:val="00200253"/>
    <w:rsid w:val="00264EE2"/>
    <w:rsid w:val="00294B59"/>
    <w:rsid w:val="002A6D5B"/>
    <w:rsid w:val="002C6F6F"/>
    <w:rsid w:val="003020AA"/>
    <w:rsid w:val="0039617A"/>
    <w:rsid w:val="003A429A"/>
    <w:rsid w:val="00447ACF"/>
    <w:rsid w:val="00507620"/>
    <w:rsid w:val="00534F0F"/>
    <w:rsid w:val="005A2571"/>
    <w:rsid w:val="005E2F7D"/>
    <w:rsid w:val="005E3C8D"/>
    <w:rsid w:val="006024B0"/>
    <w:rsid w:val="00624615"/>
    <w:rsid w:val="00644711"/>
    <w:rsid w:val="006531A4"/>
    <w:rsid w:val="006808D8"/>
    <w:rsid w:val="006E5F57"/>
    <w:rsid w:val="006F38D2"/>
    <w:rsid w:val="007727C3"/>
    <w:rsid w:val="007B1C9A"/>
    <w:rsid w:val="0080699B"/>
    <w:rsid w:val="008A3B4D"/>
    <w:rsid w:val="0090146A"/>
    <w:rsid w:val="00934EC9"/>
    <w:rsid w:val="009410E6"/>
    <w:rsid w:val="009F3C55"/>
    <w:rsid w:val="00A54B6A"/>
    <w:rsid w:val="00A63A11"/>
    <w:rsid w:val="00A71C23"/>
    <w:rsid w:val="00AE6977"/>
    <w:rsid w:val="00AE6DC5"/>
    <w:rsid w:val="00B14938"/>
    <w:rsid w:val="00BF4065"/>
    <w:rsid w:val="00C12449"/>
    <w:rsid w:val="00C15939"/>
    <w:rsid w:val="00D62BA3"/>
    <w:rsid w:val="00DB41FF"/>
    <w:rsid w:val="00DE1D9B"/>
    <w:rsid w:val="00E12A38"/>
    <w:rsid w:val="00E46BD8"/>
    <w:rsid w:val="00ED1B37"/>
    <w:rsid w:val="00F203E2"/>
    <w:rsid w:val="00F809F6"/>
    <w:rsid w:val="00FB198E"/>
    <w:rsid w:val="00F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565B"/>
  <w15:docId w15:val="{9278DB9F-7113-4B4C-AF8C-591F5F00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3"/>
      <w:ind w:left="2323"/>
      <w:outlineLvl w:val="0"/>
    </w:pPr>
    <w:rPr>
      <w:rFonts w:ascii="Calibri" w:eastAsia="Calibri" w:hAnsi="Calibri" w:cs="Calibri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35" w:lineRule="exact"/>
      <w:ind w:left="1152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72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72" w:right="7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E6977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2816</Characters>
  <Application>Microsoft Office Word</Application>
  <DocSecurity>4</DocSecurity>
  <Lines>46</Lines>
  <Paragraphs>20</Paragraphs>
  <ScaleCrop>false</ScaleCrop>
  <Company>Eli Lilly and Company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Mizrahi</dc:creator>
  <cp:lastModifiedBy>Jay S Bolden</cp:lastModifiedBy>
  <cp:revision>2</cp:revision>
  <dcterms:created xsi:type="dcterms:W3CDTF">2026-07-08T12:44:00Z</dcterms:created>
  <dcterms:modified xsi:type="dcterms:W3CDTF">2026-07-08T12:44:00Z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2026-07-05T00:00:00Z</vt:filetime>
  </property>
  <property fmtid="{D5CDD505-2E9C-101B-9397-08002B2CF9AE}" pid="5" name="Producer">
    <vt:lpwstr>Microsoft® Word 2019</vt:lpwstr>
  </property>
</Properties>
</file>